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Name: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_______________________________________    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Partner’s Name: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_________________________________________</w:t>
        <w:tab/>
        <w:tab/>
        <w:tab/>
        <w:tab/>
        <w:tab/>
        <w:tab/>
      </w:r>
    </w:p>
    <w:p w:rsidR="00000000" w:rsidDel="00000000" w:rsidP="00000000" w:rsidRDefault="00000000" w:rsidRPr="00000000">
      <w:pPr>
        <w:ind w:right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2"/>
          <w:rtl w:val="0"/>
        </w:rPr>
        <w:t xml:space="preserve">Post-Interview Reflection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 Write at least a one-paragraph response to each of the questions below. Make sure you use proper grammar, punctuation, capitalization, and spelling. Please also be clear and thorough in your writing.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right="0" w:hanging="360"/>
        <w:contextualSpacing w:val="1"/>
        <w:rPr>
          <w:rFonts w:ascii="Cambria" w:cs="Cambria" w:eastAsia="Cambria" w:hAnsi="Cambria"/>
          <w:b w:val="1"/>
          <w:sz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What was different about the experience of being interviewed compared with the experience of being the interviewer? Explain.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Which did you prefer? Why?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(back)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Which was the greater challenge? Why?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What was your favorite question to answer? Why? 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